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5D" w:rsidRDefault="00F5065D" w:rsidP="00F5065D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  <w:u w:val="single"/>
        </w:rPr>
        <w:t>Multas deportivas del trimestre ene-</w:t>
      </w:r>
      <w:proofErr w:type="spellStart"/>
      <w:r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2025</w:t>
      </w:r>
      <w:r w:rsidRPr="002160C9">
        <w:rPr>
          <w:b/>
          <w:u w:val="single"/>
        </w:rPr>
        <w:t>.</w:t>
      </w:r>
    </w:p>
    <w:p w:rsidR="00F5065D" w:rsidRDefault="00F5065D" w:rsidP="00F5065D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15-4-2025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062"/>
        <w:gridCol w:w="1051"/>
        <w:gridCol w:w="1723"/>
        <w:gridCol w:w="1747"/>
        <w:gridCol w:w="1745"/>
      </w:tblGrid>
      <w:tr w:rsidR="00F5065D" w:rsidTr="00F74C5C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F5065D" w:rsidTr="00F74C5C">
        <w:tc>
          <w:tcPr>
            <w:tcW w:w="2126" w:type="dxa"/>
            <w:vMerge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8A3714" w:rsidRDefault="00F5065D" w:rsidP="00F74C5C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Pr="00B27415">
              <w:rPr>
                <w:b/>
                <w:color w:val="000000"/>
              </w:rPr>
              <w:t>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Pr="00B27415">
              <w:rPr>
                <w:b/>
                <w:color w:val="000000"/>
              </w:rPr>
              <w:t>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18,00 €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30,00 €</w:t>
            </w: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31,50 €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10,50 €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12,00 €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F5065D" w:rsidTr="00F74C5C">
        <w:tc>
          <w:tcPr>
            <w:tcW w:w="2126" w:type="dxa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F5065D" w:rsidTr="00F74C5C">
        <w:tc>
          <w:tcPr>
            <w:tcW w:w="212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54,00 €</w:t>
            </w:r>
          </w:p>
        </w:tc>
      </w:tr>
      <w:tr w:rsidR="00F5065D" w:rsidTr="00F74C5C">
        <w:tc>
          <w:tcPr>
            <w:tcW w:w="2126" w:type="dxa"/>
            <w:shd w:val="clear" w:color="auto" w:fill="FFFFFF" w:themeFill="background1"/>
          </w:tcPr>
          <w:p w:rsidR="00F5065D" w:rsidRDefault="00F5065D" w:rsidP="00F74C5C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86" w:type="dxa"/>
            <w:shd w:val="clear" w:color="auto" w:fill="FFFFFF" w:themeFill="background1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F5065D" w:rsidRDefault="00F5065D" w:rsidP="00F74C5C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F5065D" w:rsidRPr="00B27415" w:rsidRDefault="00F5065D" w:rsidP="00F74C5C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82,50 €</w:t>
            </w:r>
          </w:p>
        </w:tc>
      </w:tr>
    </w:tbl>
    <w:p w:rsidR="00F5065D" w:rsidRPr="00D747D0" w:rsidRDefault="00F5065D" w:rsidP="00F5065D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44063A" w:rsidRDefault="0044063A"/>
    <w:sectPr w:rsidR="0044063A" w:rsidSect="00440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65D"/>
    <w:rsid w:val="0044063A"/>
    <w:rsid w:val="00C80A40"/>
    <w:rsid w:val="00F5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0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506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</dc:creator>
  <cp:lastModifiedBy>jfernandez</cp:lastModifiedBy>
  <cp:revision>2</cp:revision>
  <dcterms:created xsi:type="dcterms:W3CDTF">2025-03-30T20:51:00Z</dcterms:created>
  <dcterms:modified xsi:type="dcterms:W3CDTF">2025-03-30T20:51:00Z</dcterms:modified>
</cp:coreProperties>
</file>